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㈜서진오토모티브</w:t>
      </w:r>
      <w:r>
        <w:rPr>
          <w:b/>
          <w:sz w:val="24"/>
        </w:rPr>
        <w:t xml:space="preserve"> 녹색채권 사후보고서</w:t>
      </w:r>
    </w:p>
    <w:p>
      <w:r>
        <w:rPr>
          <w:lang w:eastAsia="ko-KR"/>
          <w:rtl w:val="off"/>
        </w:rPr>
        <w:t>기준일 : 2023.08.31</w:t>
      </w:r>
    </w:p>
    <w:p>
      <w:r>
        <w:rPr>
          <w:rFonts w:hint="eastAsia"/>
        </w:rPr>
        <w:t>■</w:t>
      </w:r>
      <w:r>
        <w:t xml:space="preserve"> 녹색채권 발행 내역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>
        <w:trPr>
          <w:trHeight w:val="270" w:hRule="atLeast"/>
        </w:trPr>
        <w:tc>
          <w:tcPr>
            <w:tcW w:w="1760" w:type="dxa"/>
            <w:hideMark/>
          </w:tcPr>
          <w:p>
            <w:pPr>
              <w:jc w:val="center"/>
            </w:pPr>
            <w:r>
              <w:rPr>
                <w:rFonts w:hint="eastAsia"/>
              </w:rPr>
              <w:t>종목명</w:t>
            </w:r>
          </w:p>
        </w:tc>
        <w:tc>
          <w:tcPr>
            <w:tcW w:w="1760" w:type="dxa"/>
            <w:hideMark/>
          </w:tcPr>
          <w:p>
            <w:pPr>
              <w:jc w:val="center"/>
            </w:pPr>
            <w:r>
              <w:rPr>
                <w:rFonts w:hint="eastAsia"/>
              </w:rPr>
              <w:t>발행일자</w:t>
            </w:r>
          </w:p>
        </w:tc>
        <w:tc>
          <w:tcPr>
            <w:tcW w:w="1760" w:type="dxa"/>
            <w:hideMark/>
          </w:tcPr>
          <w:p>
            <w:pPr>
              <w:jc w:val="center"/>
            </w:pPr>
            <w:r>
              <w:rPr>
                <w:rFonts w:hint="eastAsia"/>
              </w:rPr>
              <w:t>만기</w:t>
            </w:r>
          </w:p>
        </w:tc>
        <w:tc>
          <w:tcPr>
            <w:tcW w:w="1760" w:type="dxa"/>
            <w:hideMark/>
          </w:tcPr>
          <w:p>
            <w:pPr>
              <w:jc w:val="center"/>
            </w:pPr>
            <w:r>
              <w:rPr>
                <w:rFonts w:hint="eastAsia"/>
              </w:rPr>
              <w:t>발행금액</w:t>
            </w:r>
          </w:p>
        </w:tc>
        <w:tc>
          <w:tcPr>
            <w:tcW w:w="1760" w:type="dxa"/>
            <w:hideMark/>
          </w:tcPr>
          <w:p>
            <w:pPr>
              <w:jc w:val="center"/>
            </w:pPr>
            <w:r>
              <w:rPr>
                <w:rFonts w:hint="eastAsia"/>
              </w:rPr>
              <w:t>금리</w:t>
            </w:r>
          </w:p>
        </w:tc>
        <w:tc>
          <w:tcPr>
            <w:tcW w:w="1760" w:type="dxa"/>
            <w:hideMark/>
          </w:tcPr>
          <w:p>
            <w:pPr>
              <w:jc w:val="center"/>
            </w:pPr>
            <w:r>
              <w:rPr>
                <w:rFonts w:hint="eastAsia"/>
              </w:rPr>
              <w:t>비고</w:t>
            </w:r>
          </w:p>
        </w:tc>
      </w:tr>
      <w:tr>
        <w:trPr>
          <w:trHeight w:val="900" w:hRule="atLeast"/>
        </w:trPr>
        <w:tc>
          <w:tcPr>
            <w:tcW w:w="1760" w:type="dxa"/>
            <w:hideMark/>
          </w:tcPr>
          <w:p>
            <w:pPr>
              <w:jc w:val="center"/>
            </w:pPr>
            <w:r>
              <w:rPr>
                <w:rFonts w:hint="eastAsia"/>
              </w:rPr>
              <w:t>㈜서진오토모티브 제9회 무보증 사모사채</w:t>
            </w:r>
          </w:p>
        </w:tc>
        <w:tc>
          <w:tcPr>
            <w:tcW w:w="1760" w:type="dxa"/>
            <w:hideMark/>
          </w:tcPr>
          <w:p>
            <w:pPr>
              <w:jc w:val="center"/>
            </w:pPr>
            <w:r>
              <w:rPr>
                <w:rFonts w:hint="eastAsia"/>
              </w:rPr>
              <w:t>2022.09.06</w:t>
            </w:r>
          </w:p>
        </w:tc>
        <w:tc>
          <w:tcPr>
            <w:tcW w:w="1760" w:type="dxa"/>
            <w:hideMark/>
          </w:tcPr>
          <w:p>
            <w:pPr>
              <w:jc w:val="center"/>
            </w:pPr>
            <w:r>
              <w:rPr>
                <w:rFonts w:hint="eastAsia"/>
              </w:rPr>
              <w:t>2025.09.06</w:t>
            </w:r>
          </w:p>
        </w:tc>
        <w:tc>
          <w:tcPr>
            <w:tcW w:w="1760" w:type="dxa"/>
            <w:hideMark/>
          </w:tcPr>
          <w:p>
            <w:pPr>
              <w:jc w:val="center"/>
            </w:pPr>
            <w:r>
              <w:rPr>
                <w:rFonts w:hint="eastAsia"/>
              </w:rPr>
              <w:t>100억원</w:t>
            </w:r>
          </w:p>
        </w:tc>
        <w:tc>
          <w:tcPr>
            <w:tcW w:w="1760" w:type="dxa"/>
            <w:hideMark/>
          </w:tcPr>
          <w:p>
            <w:pPr>
              <w:jc w:val="center"/>
            </w:pPr>
            <w:r>
              <w:rPr>
                <w:rFonts w:hint="eastAsia"/>
              </w:rPr>
              <w:t>5.86%</w:t>
            </w:r>
          </w:p>
          <w:p>
            <w:pPr>
              <w:jc w:val="center"/>
            </w:pPr>
            <w:r>
              <w:t>(2023</w:t>
            </w:r>
            <w:r>
              <w:rPr>
                <w:rFonts w:hint="eastAsia"/>
              </w:rPr>
              <w:t xml:space="preserve">년 </w:t>
            </w:r>
            <w:r>
              <w:t>08</w:t>
            </w:r>
            <w:r>
              <w:rPr>
                <w:rFonts w:hint="eastAsia"/>
              </w:rPr>
              <w:t>월 현재)</w:t>
            </w:r>
          </w:p>
        </w:tc>
        <w:tc>
          <w:tcPr>
            <w:tcW w:w="1760" w:type="dxa"/>
            <w:hideMark/>
          </w:tcPr>
          <w:p>
            <w:pPr>
              <w:jc w:val="center"/>
            </w:pPr>
            <w:r>
              <w:rPr>
                <w:rFonts w:hint="eastAsia"/>
              </w:rPr>
              <w:t>변동(CD91일물 금리 기준)</w:t>
            </w:r>
          </w:p>
        </w:tc>
      </w:tr>
    </w:tbl>
    <w:p/>
    <w:p>
      <w:r>
        <w:rPr>
          <w:rFonts w:hint="eastAsia"/>
        </w:rPr>
        <w:t>■</w:t>
      </w:r>
      <w:r>
        <w:t xml:space="preserve"> 녹색채권 발행자금 사용 현황</w:t>
      </w:r>
    </w:p>
    <w:p>
      <w:pPr>
        <w:ind w:firstLineChars="100" w:firstLine="200"/>
      </w:pPr>
      <w:r>
        <w:t xml:space="preserve">㈜서진오토모티브는 2022년에 </w:t>
      </w:r>
      <w:r>
        <w:t xml:space="preserve">현대차로 </w:t>
      </w:r>
      <w:r>
        <w:t>부터</w:t>
      </w:r>
      <w:r>
        <w:t xml:space="preserve"> TMED-Ⅱ 하이브리드 적용 중형 및 대형 자동차 </w:t>
      </w:r>
      <w:r>
        <w:t>댐퍼와</w:t>
      </w:r>
      <w:r>
        <w:t xml:space="preserve"> </w:t>
      </w:r>
      <w:r>
        <w:t>로터</w:t>
      </w:r>
      <w:r>
        <w:t xml:space="preserve"> 및 관련 부품을</w:t>
      </w:r>
      <w:r>
        <w:rPr>
          <w:rFonts w:hint="eastAsia"/>
        </w:rPr>
        <w:t xml:space="preserve"> </w:t>
      </w:r>
      <w:r>
        <w:rPr>
          <w:rFonts w:hint="eastAsia"/>
        </w:rPr>
        <w:t>수주</w:t>
      </w:r>
      <w:r>
        <w:t xml:space="preserve"> 받았으며, 2023년에 현대차로 </w:t>
      </w:r>
      <w:r>
        <w:t>부터</w:t>
      </w:r>
      <w:r>
        <w:t xml:space="preserve"> TMED-Ⅱ PHEV 하이브리드 적용 중형 자동차용 </w:t>
      </w:r>
      <w:r>
        <w:t>로터</w:t>
      </w:r>
      <w:r>
        <w:t xml:space="preserve"> 및 관련 부품을 수주 받았습니다.</w:t>
      </w:r>
      <w:r>
        <w:t xml:space="preserve"> </w:t>
      </w:r>
      <w:r>
        <w:rPr>
          <w:rFonts w:hint="eastAsia"/>
        </w:rPr>
        <w:t>또한</w:t>
      </w:r>
      <w:r>
        <w:t>, 2023년에 포스코 INT로 부터 북미 리비안 사에 납품할 전기차용 ROTOR SHAFT를 수주 받았습니다.</w:t>
      </w:r>
    </w:p>
    <w:p>
      <w:pPr>
        <w:ind w:firstLineChars="100" w:firstLine="200"/>
      </w:pPr>
      <w:r>
        <w:t xml:space="preserve">당사는 현재 상기의 </w:t>
      </w:r>
      <w:r>
        <w:t>하이브리드</w:t>
      </w:r>
      <w:r>
        <w:t xml:space="preserve"> 및 </w:t>
      </w:r>
      <w:r>
        <w:t>전기차</w:t>
      </w:r>
      <w:r>
        <w:t xml:space="preserve"> 부품 관련 양산제품을 위한 시작품 개발을 진행하고 있으며, 하이브리드 양산설비를</w:t>
      </w:r>
      <w:r>
        <w:rPr>
          <w:rFonts w:hint="eastAsia"/>
        </w:rPr>
        <w:t xml:space="preserve"> </w:t>
      </w:r>
      <w:r>
        <w:rPr>
          <w:rFonts w:hint="eastAsia"/>
        </w:rPr>
        <w:t>구축하고</w:t>
      </w:r>
      <w:r>
        <w:t xml:space="preserve"> 있습니다.</w:t>
      </w:r>
    </w:p>
    <w:p>
      <w:pPr>
        <w:ind w:firstLine="210"/>
      </w:pPr>
      <w:r>
        <w:rPr>
          <w:rFonts w:hint="eastAsia"/>
        </w:rPr>
        <w:t>㈜서진오토모티브는</w:t>
      </w:r>
      <w:r>
        <w:t xml:space="preserve"> 녹색채권 금액을 녹색채권 관리체계상 명시된 발행 대금 배분 대상을 준용하여, 개발 운영자금과 시설자금에</w:t>
      </w:r>
      <w:r>
        <w:rPr>
          <w:rFonts w:hint="eastAsia"/>
        </w:rPr>
        <w:t xml:space="preserve"> </w:t>
      </w:r>
      <w:r>
        <w:rPr>
          <w:rFonts w:hint="eastAsia"/>
        </w:rPr>
        <w:t>아래와</w:t>
      </w:r>
      <w:r>
        <w:t xml:space="preserve"> 같이</w:t>
      </w:r>
      <w:r>
        <w:rPr>
          <w:rFonts w:hint="eastAsia"/>
        </w:rPr>
        <w:t xml:space="preserve"> 사용하고 있습니다.</w:t>
      </w:r>
      <w:r>
        <w:t xml:space="preserve"> </w:t>
      </w:r>
    </w:p>
    <w:p>
      <w:pPr>
        <w:pStyle w:val="a4"/>
        <w:ind w:leftChars="0"/>
        <w:numPr>
          <w:ilvl w:val="0"/>
          <w:numId w:val="1"/>
        </w:numPr>
      </w:pPr>
      <w:r>
        <w:rPr>
          <w:rFonts w:hint="eastAsia"/>
        </w:rPr>
        <w:t>사용자금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05"/>
        <w:gridCol w:w="2674"/>
        <w:gridCol w:w="2674"/>
        <w:gridCol w:w="1663"/>
      </w:tblGrid>
      <w:tr>
        <w:trPr>
          <w:trHeight w:val="330" w:hRule="atLeast"/>
        </w:trPr>
        <w:tc>
          <w:tcPr>
            <w:tcW w:w="2005" w:type="dxa"/>
            <w:hideMark/>
          </w:tcPr>
          <w:p>
            <w:pPr>
              <w:jc w:val="center"/>
            </w:pPr>
            <w:r>
              <w:rPr>
                <w:rFonts w:hint="eastAsia"/>
              </w:rPr>
              <w:t>친환경 차 시스템</w:t>
            </w:r>
          </w:p>
        </w:tc>
        <w:tc>
          <w:tcPr>
            <w:tcW w:w="2674" w:type="dxa"/>
            <w:hideMark/>
          </w:tcPr>
          <w:p>
            <w:pPr>
              <w:jc w:val="center"/>
            </w:pPr>
            <w:r>
              <w:rPr>
                <w:rFonts w:hint="eastAsia"/>
              </w:rPr>
              <w:t>납품사</w:t>
            </w:r>
          </w:p>
        </w:tc>
        <w:tc>
          <w:tcPr>
            <w:tcW w:w="2674" w:type="dxa"/>
            <w:hideMark/>
          </w:tcPr>
          <w:p>
            <w:pPr>
              <w:jc w:val="center"/>
            </w:pPr>
            <w:r>
              <w:rPr>
                <w:rFonts w:hint="eastAsia"/>
              </w:rPr>
              <w:t>용도</w:t>
            </w:r>
          </w:p>
        </w:tc>
        <w:tc>
          <w:tcPr>
            <w:tcW w:w="1663" w:type="dxa"/>
            <w:hideMark/>
          </w:tcPr>
          <w:p>
            <w:pPr>
              <w:jc w:val="center"/>
            </w:pPr>
            <w:r>
              <w:rPr>
                <w:rFonts w:hint="eastAsia"/>
              </w:rPr>
              <w:t>금액(억원)</w:t>
            </w:r>
          </w:p>
        </w:tc>
      </w:tr>
      <w:tr>
        <w:trPr>
          <w:trHeight w:val="330" w:hRule="atLeast"/>
        </w:trPr>
        <w:tc>
          <w:tcPr>
            <w:tcW w:w="2005" w:type="dxa"/>
            <w:vMerge w:val="restart"/>
            <w:hideMark/>
          </w:tcPr>
          <w:p>
            <w:pPr>
              <w:jc w:val="center"/>
            </w:pPr>
            <w:r>
              <w:rPr>
                <w:rFonts w:hint="eastAsia"/>
              </w:rPr>
              <w:t>하이브리드</w:t>
            </w:r>
          </w:p>
        </w:tc>
        <w:tc>
          <w:tcPr>
            <w:tcW w:w="2674" w:type="dxa"/>
            <w:vMerge w:val="restart"/>
            <w:hideMark/>
          </w:tcPr>
          <w:p>
            <w:pPr>
              <w:jc w:val="center"/>
            </w:pPr>
            <w:r>
              <w:rPr>
                <w:rFonts w:hint="eastAsia"/>
              </w:rPr>
              <w:t>현대차</w:t>
            </w:r>
          </w:p>
        </w:tc>
        <w:tc>
          <w:tcPr>
            <w:tcW w:w="2674" w:type="dxa"/>
            <w:hideMark/>
          </w:tcPr>
          <w:p>
            <w:pPr>
              <w:jc w:val="center"/>
            </w:pPr>
            <w:r>
              <w:rPr>
                <w:rFonts w:hint="eastAsia"/>
              </w:rPr>
              <w:t>개발(설계, 시제품제작 등)</w:t>
            </w:r>
          </w:p>
        </w:tc>
        <w:tc>
          <w:tcPr>
            <w:tcW w:w="1663" w:type="dxa"/>
            <w:hideMark/>
          </w:tcPr>
          <w:p>
            <w:pPr>
              <w:jc w:val="center"/>
            </w:pPr>
            <w:r>
              <w:rPr>
                <w:rFonts w:hint="eastAsia"/>
              </w:rPr>
              <w:t>28</w:t>
            </w:r>
          </w:p>
        </w:tc>
      </w:tr>
      <w:tr>
        <w:trPr>
          <w:trHeight w:val="330" w:hRule="atLeast"/>
        </w:trPr>
        <w:tc>
          <w:tcPr>
            <w:tcW w:w="2005" w:type="dxa"/>
            <w:vMerge w:val="continue"/>
            <w:hideMark/>
          </w:tcPr>
          <w:p>
            <w:pPr>
              <w:jc w:val="center"/>
            </w:pPr>
          </w:p>
        </w:tc>
        <w:tc>
          <w:tcPr>
            <w:tcW w:w="2674" w:type="dxa"/>
            <w:vMerge w:val="continue"/>
            <w:hideMark/>
          </w:tcPr>
          <w:p>
            <w:pPr>
              <w:jc w:val="center"/>
            </w:pPr>
          </w:p>
        </w:tc>
        <w:tc>
          <w:tcPr>
            <w:tcW w:w="2674" w:type="dxa"/>
            <w:hideMark/>
          </w:tcPr>
          <w:p>
            <w:pPr>
              <w:jc w:val="center"/>
            </w:pPr>
            <w:r>
              <w:rPr>
                <w:rFonts w:hint="eastAsia"/>
              </w:rPr>
              <w:t>양산 설비 투자</w:t>
            </w:r>
          </w:p>
        </w:tc>
        <w:tc>
          <w:tcPr>
            <w:tcW w:w="1663" w:type="dxa"/>
            <w:hideMark/>
          </w:tcPr>
          <w:p>
            <w:pPr>
              <w:jc w:val="center"/>
            </w:pPr>
            <w:r>
              <w:rPr>
                <w:rFonts w:hint="eastAsia"/>
              </w:rPr>
              <w:t>34</w:t>
            </w:r>
          </w:p>
        </w:tc>
      </w:tr>
      <w:tr>
        <w:trPr>
          <w:trHeight w:val="330" w:hRule="atLeast"/>
        </w:trPr>
        <w:tc>
          <w:tcPr>
            <w:tcW w:w="2005" w:type="dxa"/>
            <w:vMerge w:val="continue"/>
            <w:hideMark/>
          </w:tcPr>
          <w:p>
            <w:pPr>
              <w:jc w:val="center"/>
            </w:pPr>
          </w:p>
        </w:tc>
        <w:tc>
          <w:tcPr>
            <w:tcW w:w="2674" w:type="dxa"/>
            <w:hideMark/>
          </w:tcPr>
          <w:p>
            <w:pPr>
              <w:jc w:val="center"/>
            </w:pPr>
            <w:r>
              <w:rPr>
                <w:rFonts w:hint="eastAsia"/>
              </w:rPr>
              <w:t>계</w:t>
            </w:r>
          </w:p>
        </w:tc>
        <w:tc>
          <w:tcPr>
            <w:tcW w:w="2674" w:type="dxa"/>
            <w:hideMark/>
          </w:tcPr>
          <w:p>
            <w:pPr>
              <w:jc w:val="center"/>
            </w:pPr>
          </w:p>
        </w:tc>
        <w:tc>
          <w:tcPr>
            <w:tcW w:w="1663" w:type="dxa"/>
            <w:hideMark/>
          </w:tcPr>
          <w:p>
            <w:pPr>
              <w:jc w:val="center"/>
            </w:pPr>
            <w:r>
              <w:rPr>
                <w:rFonts w:hint="eastAsia"/>
              </w:rPr>
              <w:t>62</w:t>
            </w:r>
          </w:p>
        </w:tc>
      </w:tr>
      <w:tr>
        <w:trPr>
          <w:trHeight w:val="330" w:hRule="atLeast"/>
        </w:trPr>
        <w:tc>
          <w:tcPr>
            <w:tcW w:w="2005" w:type="dxa"/>
            <w:vMerge w:val="restart"/>
            <w:hideMark/>
          </w:tcPr>
          <w:p>
            <w:pPr>
              <w:jc w:val="center"/>
            </w:pPr>
            <w:r>
              <w:rPr>
                <w:rFonts w:hint="eastAsia"/>
              </w:rPr>
              <w:t>전기차</w:t>
            </w:r>
          </w:p>
        </w:tc>
        <w:tc>
          <w:tcPr>
            <w:tcW w:w="2674" w:type="dxa"/>
            <w:hideMark/>
          </w:tcPr>
          <w:p>
            <w:pPr>
              <w:jc w:val="center"/>
            </w:pPr>
            <w:r>
              <w:rPr>
                <w:rFonts w:hint="eastAsia"/>
              </w:rPr>
              <w:t>포스코</w:t>
            </w:r>
            <w:r>
              <w:rPr>
                <w:rFonts w:hint="eastAsia"/>
              </w:rPr>
              <w:t>INT(리비안)</w:t>
            </w:r>
          </w:p>
        </w:tc>
        <w:tc>
          <w:tcPr>
            <w:tcW w:w="2674" w:type="dxa"/>
            <w:hideMark/>
          </w:tcPr>
          <w:p>
            <w:pPr>
              <w:jc w:val="center"/>
            </w:pPr>
            <w:r>
              <w:rPr>
                <w:rFonts w:hint="eastAsia"/>
              </w:rPr>
              <w:t>개발(설계, 시제품제작 등)</w:t>
            </w:r>
          </w:p>
        </w:tc>
        <w:tc>
          <w:tcPr>
            <w:tcW w:w="1663" w:type="dxa"/>
            <w:hideMark/>
          </w:tcPr>
          <w:p>
            <w:pPr>
              <w:jc w:val="center"/>
            </w:pPr>
            <w:r>
              <w:rPr>
                <w:rFonts w:hint="eastAsia"/>
              </w:rPr>
              <w:t>7</w:t>
            </w:r>
          </w:p>
        </w:tc>
      </w:tr>
      <w:tr>
        <w:trPr>
          <w:trHeight w:val="330" w:hRule="atLeast"/>
        </w:trPr>
        <w:tc>
          <w:tcPr>
            <w:tcW w:w="2005" w:type="dxa"/>
            <w:vMerge w:val="continue"/>
            <w:hideMark/>
          </w:tcPr>
          <w:p>
            <w:pPr>
              <w:jc w:val="center"/>
            </w:pPr>
          </w:p>
        </w:tc>
        <w:tc>
          <w:tcPr>
            <w:tcW w:w="2674" w:type="dxa"/>
            <w:hideMark/>
          </w:tcPr>
          <w:p>
            <w:pPr>
              <w:jc w:val="center"/>
            </w:pPr>
            <w:r>
              <w:rPr>
                <w:rFonts w:hint="eastAsia"/>
              </w:rPr>
              <w:t>디피코 외</w:t>
            </w:r>
          </w:p>
        </w:tc>
        <w:tc>
          <w:tcPr>
            <w:tcW w:w="2674" w:type="dxa"/>
            <w:hideMark/>
          </w:tcPr>
          <w:p>
            <w:pPr>
              <w:jc w:val="center"/>
            </w:pPr>
            <w:r>
              <w:rPr>
                <w:rFonts w:hint="eastAsia"/>
              </w:rPr>
              <w:t>제품 양산, 운영</w:t>
            </w:r>
          </w:p>
        </w:tc>
        <w:tc>
          <w:tcPr>
            <w:tcW w:w="1663" w:type="dxa"/>
            <w:hideMark/>
          </w:tcPr>
          <w:p>
            <w:pPr>
              <w:jc w:val="center"/>
            </w:pPr>
            <w:r>
              <w:rPr>
                <w:rFonts w:hint="eastAsia"/>
              </w:rPr>
              <w:t>4</w:t>
            </w:r>
          </w:p>
        </w:tc>
      </w:tr>
      <w:tr>
        <w:trPr>
          <w:trHeight w:val="330" w:hRule="atLeast"/>
        </w:trPr>
        <w:tc>
          <w:tcPr>
            <w:tcW w:w="2005" w:type="dxa"/>
            <w:vMerge w:val="continue"/>
            <w:hideMark/>
          </w:tcPr>
          <w:p>
            <w:pPr>
              <w:jc w:val="center"/>
            </w:pPr>
          </w:p>
        </w:tc>
        <w:tc>
          <w:tcPr>
            <w:tcW w:w="2674" w:type="dxa"/>
            <w:hideMark/>
          </w:tcPr>
          <w:p>
            <w:pPr>
              <w:jc w:val="center"/>
            </w:pPr>
            <w:r>
              <w:rPr>
                <w:rFonts w:hint="eastAsia"/>
              </w:rPr>
              <w:t>계</w:t>
            </w:r>
          </w:p>
        </w:tc>
        <w:tc>
          <w:tcPr>
            <w:tcW w:w="2674" w:type="dxa"/>
            <w:hideMark/>
          </w:tcPr>
          <w:p>
            <w:pPr>
              <w:jc w:val="center"/>
            </w:pPr>
          </w:p>
        </w:tc>
        <w:tc>
          <w:tcPr>
            <w:tcW w:w="1663" w:type="dxa"/>
            <w:hideMark/>
          </w:tcPr>
          <w:p>
            <w:pPr>
              <w:jc w:val="center"/>
            </w:pPr>
            <w:r>
              <w:rPr>
                <w:rFonts w:hint="eastAsia"/>
              </w:rPr>
              <w:t>11</w:t>
            </w:r>
          </w:p>
        </w:tc>
      </w:tr>
      <w:tr>
        <w:trPr>
          <w:trHeight w:val="330" w:hRule="atLeast"/>
        </w:trPr>
        <w:tc>
          <w:tcPr>
            <w:tcW w:w="4679" w:type="dxa"/>
            <w:gridSpan w:val="2"/>
            <w:hideMark/>
          </w:tcPr>
          <w:p>
            <w:pPr>
              <w:jc w:val="center"/>
            </w:pPr>
            <w:r>
              <w:rPr>
                <w:rFonts w:hint="eastAsia"/>
              </w:rPr>
              <w:t>합계</w:t>
            </w:r>
          </w:p>
        </w:tc>
        <w:tc>
          <w:tcPr>
            <w:tcW w:w="2674" w:type="dxa"/>
            <w:hideMark/>
          </w:tcPr>
          <w:p>
            <w:pPr>
              <w:jc w:val="center"/>
            </w:pPr>
          </w:p>
        </w:tc>
        <w:tc>
          <w:tcPr>
            <w:tcW w:w="1663" w:type="dxa"/>
            <w:hideMark/>
          </w:tcPr>
          <w:p>
            <w:pPr>
              <w:jc w:val="center"/>
            </w:pPr>
            <w:r>
              <w:rPr>
                <w:rFonts w:hint="eastAsia"/>
              </w:rPr>
              <w:t>73</w:t>
            </w:r>
          </w:p>
        </w:tc>
      </w:tr>
    </w:tbl>
    <w:p>
      <w:pPr>
        <w:ind w:firstLine="210"/>
      </w:pPr>
    </w:p>
    <w:p>
      <w:pPr>
        <w:pStyle w:val="a4"/>
        <w:ind w:leftChars="0"/>
        <w:numPr>
          <w:ilvl w:val="0"/>
          <w:numId w:val="1"/>
        </w:numPr>
      </w:pPr>
      <w:r>
        <w:rPr>
          <w:rFonts w:hint="eastAsia"/>
        </w:rPr>
        <w:t>미사용자금</w:t>
      </w:r>
    </w:p>
    <w:p>
      <w:pPr>
        <w:ind w:leftChars="100" w:left="200" w:firstLineChars="200" w:firstLine="400"/>
        <w:rPr>
          <w:lang w:eastAsia="ko-KR"/>
          <w:rFonts w:hint="eastAsia"/>
          <w:rtl w:val="off"/>
        </w:rPr>
      </w:pPr>
      <w:r>
        <w:rPr>
          <w:rFonts w:hint="eastAsia"/>
        </w:rPr>
        <w:t>미사용자금은 주로 산업은행 뉴딜기업(고금리 일반계좌) 계좌, 국민은행 정기예금 계좌 등으로 운영하고 있습니다.</w:t>
      </w:r>
    </w:p>
    <w:p>
      <w:pPr>
        <w:ind w:leftChars="100" w:left="200" w:firstLineChars="200" w:firstLine="400"/>
      </w:pPr>
    </w:p>
    <w:p>
      <w:r>
        <w:rPr>
          <w:rFonts w:hint="eastAsia"/>
        </w:rPr>
        <w:t>■</w:t>
      </w:r>
      <w:r>
        <w:t xml:space="preserve"> </w:t>
      </w:r>
      <w:r>
        <w:rPr>
          <w:rFonts w:hint="eastAsia"/>
        </w:rPr>
        <w:t>기대효과</w:t>
      </w:r>
    </w:p>
    <w:p>
      <w:pPr/>
      <w:r>
        <w:rPr>
          <w:lang w:eastAsia="ko-KR"/>
          <w:rFonts w:hint="eastAsia"/>
          <w:rtl w:val="off"/>
        </w:rPr>
        <w:t xml:space="preserve">   녹색채권 조달자금이 투입된 친환경차량 부품 연간 생산량이 친환경차(하이브리드/전기차) 약 78만대에 투입되는 분량입니다</w:t>
      </w:r>
    </w:p>
    <w:p/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/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71f108b5"/>
    <w:multiLevelType w:val="hybridMultilevel"/>
    <w:tmpl w:val="c73269be"/>
    <w:lvl w:ilvl="0" w:tplc="7d3aa9dc">
      <w:start w:val="1"/>
      <w:lvlText w:val="%1)"/>
      <w:lvlJc w:val="left"/>
      <w:pPr>
        <w:ind w:left="570" w:hanging="360"/>
      </w:pPr>
      <w:rPr>
        <w:rFonts w:hint="default"/>
      </w:rPr>
    </w:lvl>
    <w:lvl w:ilvl="1" w:tentative="on" w:tplc="4090019">
      <w:start w:val="1"/>
      <w:numFmt w:val="upperLetter"/>
      <w:lvlText w:val="%2."/>
      <w:lvlJc w:val="left"/>
      <w:pPr>
        <w:ind w:left="1010" w:hanging="400"/>
      </w:pPr>
    </w:lvl>
    <w:lvl w:ilvl="2" w:tentative="on" w:tplc="409001b">
      <w:start w:val="1"/>
      <w:numFmt w:val="lowerRoman"/>
      <w:lvlText w:val="%3."/>
      <w:lvlJc w:val="right"/>
      <w:pPr>
        <w:ind w:left="1410" w:hanging="400"/>
      </w:pPr>
    </w:lvl>
    <w:lvl w:ilvl="3" w:tentative="on" w:tplc="409000f">
      <w:start w:val="1"/>
      <w:lvlText w:val="%4."/>
      <w:lvlJc w:val="left"/>
      <w:pPr>
        <w:ind w:left="1810" w:hanging="400"/>
      </w:pPr>
    </w:lvl>
    <w:lvl w:ilvl="4" w:tentative="on" w:tplc="4090019">
      <w:start w:val="1"/>
      <w:numFmt w:val="upperLetter"/>
      <w:lvlText w:val="%5."/>
      <w:lvlJc w:val="left"/>
      <w:pPr>
        <w:ind w:left="2210" w:hanging="400"/>
      </w:pPr>
    </w:lvl>
    <w:lvl w:ilvl="5" w:tentative="on" w:tplc="409001b">
      <w:start w:val="1"/>
      <w:numFmt w:val="lowerRoman"/>
      <w:lvlText w:val="%6."/>
      <w:lvlJc w:val="right"/>
      <w:pPr>
        <w:ind w:left="2610" w:hanging="400"/>
      </w:pPr>
    </w:lvl>
    <w:lvl w:ilvl="6" w:tentative="on" w:tplc="409000f">
      <w:start w:val="1"/>
      <w:lvlText w:val="%7."/>
      <w:lvlJc w:val="left"/>
      <w:pPr>
        <w:ind w:left="3010" w:hanging="400"/>
      </w:pPr>
    </w:lvl>
    <w:lvl w:ilvl="7" w:tentative="on" w:tplc="4090019">
      <w:start w:val="1"/>
      <w:numFmt w:val="upperLetter"/>
      <w:lvlText w:val="%8."/>
      <w:lvlJc w:val="left"/>
      <w:pPr>
        <w:ind w:left="3410" w:hanging="400"/>
      </w:pPr>
    </w:lvl>
    <w:lvl w:ilvl="8" w:tentative="on" w:tplc="409001b">
      <w:start w:val="1"/>
      <w:numFmt w:val="lowerRoman"/>
      <w:lvlText w:val="%9."/>
      <w:lvlJc w:val="right"/>
      <w:pPr>
        <w:ind w:left="381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uiPriority w:val="39"/>
    <w:basedOn w:val="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uiPriority w:val="34"/>
    <w:basedOn w:val="a"/>
    <w:qFormat/>
    <w:pPr>
      <w:ind w:leftChars="400" w:left="800"/>
    </w:pPr>
  </w:style>
  <w:style w:type="paragraph" w:styleId="a5">
    <w:name w:val="Balloon Text"/>
    <w:uiPriority w:val="99"/>
    <w:basedOn w:val="a"/>
    <w:link w:val="Char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uiPriority w:val="99"/>
    <w:basedOn w:val="a0"/>
    <w:link w:val="a5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경관-윤병식</dc:creator>
  <cp:keywords/>
  <dc:description/>
  <cp:lastModifiedBy>경관-윤병식</cp:lastModifiedBy>
  <cp:revision>1</cp:revision>
  <dcterms:created xsi:type="dcterms:W3CDTF">2023-09-18T05:49:00Z</dcterms:created>
  <dcterms:modified xsi:type="dcterms:W3CDTF">2023-09-20T00:39:56Z</dcterms:modified>
  <cp:lastPrinted>2023-09-18T06:21:00Z</cp:lastPrinted>
  <cp:version>1100.0100.01</cp:version>
</cp:coreProperties>
</file>